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C2" w:rsidRDefault="00046224">
      <w:pPr>
        <w:pStyle w:val="Default"/>
        <w:widowControl w:val="0"/>
        <w:spacing w:before="0" w:line="260" w:lineRule="exact"/>
        <w:ind w:left="20"/>
        <w:jc w:val="center"/>
        <w:rPr>
          <w:rFonts w:ascii="Arial" w:eastAsia="Arial" w:hAnsi="Arial" w:cs="Arial"/>
          <w:b/>
          <w:bCs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Acute (Secondary Care) Headache pathway for adults</w:t>
      </w:r>
    </w:p>
    <w:p w:rsidR="00AE53C2" w:rsidRDefault="00AE53C2">
      <w:pPr>
        <w:pStyle w:val="Default"/>
        <w:widowControl w:val="0"/>
        <w:spacing w:before="0" w:line="260" w:lineRule="exact"/>
        <w:ind w:left="20"/>
        <w:rPr>
          <w:rFonts w:ascii="Arial" w:eastAsia="Arial" w:hAnsi="Arial" w:cs="Arial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 presents with severe headache</w:t>
      </w: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Take full history and carry out a full neurological examination</w:t>
      </w: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not omit visual acuity and fields, optic fundi, meningism and gait.</w:t>
      </w: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Check temperature, skin (rash), BP and gait.</w: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14"/>
          <w:szCs w:val="1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14"/>
          <w:szCs w:val="1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14"/>
          <w:szCs w:val="1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Consider following possibilities (</w:t>
      </w: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red flags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 and check if present: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Thunderclap headache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CNS Infection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Raised intracranial pressure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neurological deficit or alteration of consciousness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Higher risk scenarios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Low intracranial pressure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Temporal arteritis</w:t>
      </w:r>
    </w:p>
    <w:p w:rsidR="00AE53C2" w:rsidRDefault="00046224">
      <w:pPr>
        <w:pStyle w:val="Default"/>
        <w:widowControl w:val="0"/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Glaucoma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If none present, consider </w:t>
      </w: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primary headache disorder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(see details below on page 5)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Thunderclap headache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New, sudden and severe headache that builds up to its maximum within seconds to a minute and may be associated with neck stiffness.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Vomiting and syncope can occur at onset.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Possible diagnosis – subarachnoid haemorrhage, other intracranial haemorrhage (incl</w:t>
      </w:r>
      <w:r w:rsidR="00292436">
        <w:rPr>
          <w:rFonts w:ascii="Arial" w:hAnsi="Arial"/>
          <w:sz w:val="22"/>
          <w:szCs w:val="22"/>
        </w:rPr>
        <w:t>uding</w:t>
      </w:r>
      <w:r>
        <w:rPr>
          <w:rFonts w:ascii="Arial" w:hAnsi="Arial"/>
          <w:sz w:val="22"/>
          <w:szCs w:val="22"/>
        </w:rPr>
        <w:t xml:space="preserve"> pituitary apoplexy) acute cranial artery dissection.  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CNS Infection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Persistent raised temperature with / without neck stiffness, rash, focal neurological deficit, altered consciousness / behaviour, seizures.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Possible diagnosis - meningitis*, encephalitis, cerebral abscess, subdural empyema. 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Consider travel history (TB, malaria etc)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*NB. British Infection Association Guidelines (Jan 16) advise not delaying LP for prior CT scan if meningitis suspected unless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severe sepsis/rapidly evolving rash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severe cardiovascular/respiratory compromise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bleeding risk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focal neurological signs, papilloedema, uncontrolled seizures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GCS &lt; 12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Raised intracranial pressure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New headaches brought on by coughing, straining, night time exacerbation; can be associated with recurrent brief loss of vision (obscurations), vomiting, pulsatile tinnitus, visual field defect or papilloedema.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Possible diagnosis - space occupying lesion, hydrocephalus (including blocked shunt), colloid cyst, cerebral venous sinus thrombosis, malignant meningeal infiltration, idiopathic intracranial hypertension, hypertensive encephalopathy.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neurological deficit or alteration of consciousness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New onset cranial nerve palsy/ hemisensory disturbance or hemiparesis, ataxia / incoordination, alteration in level of consciousness / behaviour / cognition or alertness.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Any new (recent) onset of persistent headache (new daily persistent headache) requires investigation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Higher risk scenarios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Elderly / known or suspected malignancy / immunocompromised / anticoagulated / recent head trauma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292436" w:rsidRDefault="00292436">
      <w:pPr>
        <w:pStyle w:val="Default"/>
        <w:widowControl w:val="0"/>
        <w:spacing w:before="0"/>
        <w:jc w:val="center"/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2436" w:rsidRDefault="00046224">
      <w:pPr>
        <w:pStyle w:val="Default"/>
        <w:widowControl w:val="0"/>
        <w:spacing w:before="0"/>
        <w:jc w:val="center"/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ANY OF ABOVE PRESENT - MANAGEMENT ADVICE</w:t>
      </w: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u w:val="single"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3011768</wp:posOffset>
                </wp:positionH>
                <wp:positionV relativeFrom="line">
                  <wp:posOffset>222967</wp:posOffset>
                </wp:positionV>
                <wp:extent cx="0" cy="839739"/>
                <wp:effectExtent l="0" t="0" r="0" b="0"/>
                <wp:wrapThrough wrapText="bothSides" distL="152400" distR="152400">
                  <wp:wrapPolygon edited="1">
                    <wp:start x="0" y="0"/>
                    <wp:lineTo x="0" y="18467"/>
                    <wp:lineTo x="0" y="0"/>
                    <wp:lineTo x="0" y="18467"/>
                    <wp:lineTo x="0" y="20948"/>
                    <wp:lineTo x="0" y="21601"/>
                    <wp:lineTo x="0" y="20948"/>
                    <wp:lineTo x="0" y="18467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37.1pt;margin-top:17.6pt;width:0.0pt;height:66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 w:rsidP="00292436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CT Brain Scan – consider with contrast</w:t>
      </w: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Discuss scan report with radiologist &amp; senior colleague</w:t>
      </w: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indicated, proceed to lumbar puncture only if clinically appropriate and safe to do so (see note below)</w: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advice required about investigations or patient’s condition at this stage discuss with the Walton Centre on-call Neurosurgical or Neurology Registrar</w: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TEL 0151 525 3611- Ask for the neurology registrar / neurosurgical registrar as appropriate.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Scans done at Walton Centre linked hospitals are automatically networked into the Walton Centre radiology system and will be available for their viewing.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Carefully record the name of the registrar and the on call consultant and the advice given in the patient’s notes.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Consultant neurologists from the Walton Centre visit linked hospitals 3-4 days a week and do outpatient clinics and see ward referrals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Urgent or out of hours referrals should be discussed with the WALTON CENTRE ON CALL NEUROSURGICAL OR NEUROLOGY REGISTRAR  and should not be kept waiting for the visiting service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Teleneurology is available at certain hospitals only but will be extended in time.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Referrals to the visiting neurology service should be made only on the advice of a registrar or consultant. This should be done by sending a detailed referral (to enable appropriate triage by neurologists) to the neurology secretary with the name, grade and contact number of the referrer and their consultant written legibly. Do not fax A&amp;E notes.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292436" w:rsidRDefault="002924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ascii="Arial" w:hAnsi="Arial"/>
          <w:b/>
          <w:bCs/>
          <w:color w:val="EE220C"/>
          <w:sz w:val="22"/>
          <w:szCs w:val="22"/>
          <w:u w:val="single"/>
        </w:rPr>
      </w:pPr>
    </w:p>
    <w:p w:rsidR="00292436" w:rsidRDefault="002924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ascii="Arial" w:hAnsi="Arial"/>
          <w:b/>
          <w:bCs/>
          <w:color w:val="EE220C"/>
          <w:sz w:val="22"/>
          <w:szCs w:val="22"/>
          <w:u w:val="single"/>
        </w:rPr>
      </w:pPr>
    </w:p>
    <w:p w:rsidR="00292436" w:rsidRDefault="002924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ascii="Arial" w:hAnsi="Arial"/>
          <w:b/>
          <w:bCs/>
          <w:color w:val="EE220C"/>
          <w:sz w:val="22"/>
          <w:szCs w:val="22"/>
          <w:u w:val="single"/>
        </w:rPr>
      </w:pPr>
    </w:p>
    <w:p w:rsidR="00292436" w:rsidRDefault="002924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ascii="Arial" w:hAnsi="Arial"/>
          <w:b/>
          <w:bCs/>
          <w:color w:val="EE220C"/>
          <w:sz w:val="22"/>
          <w:szCs w:val="22"/>
          <w:u w:val="single"/>
        </w:rPr>
      </w:pPr>
    </w:p>
    <w:p w:rsidR="00292436" w:rsidRDefault="002924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ascii="Arial" w:hAnsi="Arial"/>
          <w:b/>
          <w:bCs/>
          <w:color w:val="EE220C"/>
          <w:sz w:val="22"/>
          <w:szCs w:val="22"/>
          <w:u w:val="single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rFonts w:ascii="Arial" w:eastAsia="Arial" w:hAnsi="Arial" w:cs="Arial"/>
          <w:b/>
          <w:bCs/>
          <w:color w:val="EE220C"/>
          <w:sz w:val="22"/>
          <w:szCs w:val="22"/>
          <w:u w:val="single"/>
        </w:rPr>
      </w:pPr>
      <w:r>
        <w:rPr>
          <w:rFonts w:ascii="Arial" w:hAnsi="Arial"/>
          <w:b/>
          <w:bCs/>
          <w:color w:val="EE220C"/>
          <w:sz w:val="22"/>
          <w:szCs w:val="22"/>
          <w:u w:val="single"/>
        </w:rPr>
        <w:t>NOTES ON LUMBAR PUNCTURE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 well timed and well performed LP is a very useful investigation – do not delay if safe and indicated, especially in suspected meningitis.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See above note. 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In  thunderclap headaches where CT brain scan is normal - undertake a lumbar puncture 12 hours after the  onset of the headache. Where CNS infection is suspected, LP should be performed within  the first 24 hours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CONTRAINDICATIONS- Known bleeding / clotting disorder / on anticoagulation (attempt to correct if feasible and pursue LP when safe); mass lesion, scan evidence of obstructive hydrocephalus (eg enlarged ventricles, dilated temporal horns, effaced sulci) or significant brain oedema. 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PRACTICAL TIPS - Before you start, ensure a full LP set is available including manometer and 5-6 sample bottles.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Measure opening pressure only with the patient in the lateral decubitus position. Read the pressure after getting the patient to relax and once the column of CSF is at a stable level.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Take 5-6 samples – each with 1-2 ml and send for all appropriate tests.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Send CSF samples for relevant biochemistry, microbiology and immunology tests. Xanthochromia test mandatory in thunderclap cases.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Take paired blood samples for glucose, bilirubin (and oligoclonal bands if indicated).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Protect xanthochromia CSF sample from light. Forewarn the lab and dispatch samples immediately and safely.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There is no benefit in a patient lying flat after an LP. Patients should rest and be kept well hydrated. 20% can develop a post LP low CSF pressure headache.</w:t>
      </w:r>
      <w:r>
        <w:rPr>
          <w:rFonts w:ascii="Arial" w:eastAsia="Arial" w:hAnsi="Arial" w:cs="Arial"/>
          <w:noProof/>
          <w:sz w:val="16"/>
          <w:szCs w:val="16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3011768</wp:posOffset>
                </wp:positionH>
                <wp:positionV relativeFrom="line">
                  <wp:posOffset>117684</wp:posOffset>
                </wp:positionV>
                <wp:extent cx="0" cy="839739"/>
                <wp:effectExtent l="0" t="0" r="0" b="0"/>
                <wp:wrapThrough wrapText="bothSides" distL="152400" distR="152400">
                  <wp:wrapPolygon edited="1">
                    <wp:start x="0" y="0"/>
                    <wp:lineTo x="0" y="18467"/>
                    <wp:lineTo x="0" y="0"/>
                    <wp:lineTo x="0" y="18467"/>
                    <wp:lineTo x="0" y="20948"/>
                    <wp:lineTo x="0" y="21601"/>
                    <wp:lineTo x="0" y="20948"/>
                    <wp:lineTo x="0" y="18467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7.1pt;margin-top:9.3pt;width:0.0pt;height:66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If </w:t>
      </w: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abnormal investigations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refer as above to on call neurology / neurosurgery at Walton Centre or on site visiting neurologist</w:t>
      </w:r>
      <w:r>
        <w:rPr>
          <w:rFonts w:ascii="Arial" w:eastAsia="Arial" w:hAnsi="Arial" w:cs="Arial"/>
          <w:noProof/>
          <w:sz w:val="22"/>
          <w:szCs w:val="22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3011768</wp:posOffset>
                </wp:positionH>
                <wp:positionV relativeFrom="line">
                  <wp:posOffset>204044</wp:posOffset>
                </wp:positionV>
                <wp:extent cx="0" cy="839739"/>
                <wp:effectExtent l="0" t="0" r="0" b="0"/>
                <wp:wrapThrough wrapText="bothSides" distL="152400" distR="152400">
                  <wp:wrapPolygon edited="1">
                    <wp:start x="0" y="0"/>
                    <wp:lineTo x="0" y="18467"/>
                    <wp:lineTo x="0" y="0"/>
                    <wp:lineTo x="0" y="18467"/>
                    <wp:lineTo x="0" y="20948"/>
                    <wp:lineTo x="0" y="21601"/>
                    <wp:lineTo x="0" y="20948"/>
                    <wp:lineTo x="0" y="18467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37.1pt;margin-top:16.1pt;width:0.0pt;height:66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If </w:t>
      </w: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normal investigations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re-assess patient and discuss with senior colleague</w:t>
      </w:r>
      <w:r>
        <w:rPr>
          <w:rFonts w:ascii="Arial" w:eastAsia="Arial" w:hAnsi="Arial" w:cs="Arial"/>
          <w:noProof/>
          <w:sz w:val="22"/>
          <w:szCs w:val="22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3011768</wp:posOffset>
                </wp:positionH>
                <wp:positionV relativeFrom="line">
                  <wp:posOffset>255663</wp:posOffset>
                </wp:positionV>
                <wp:extent cx="0" cy="839739"/>
                <wp:effectExtent l="0" t="0" r="0" b="0"/>
                <wp:wrapThrough wrapText="bothSides" distL="152400" distR="152400">
                  <wp:wrapPolygon edited="1">
                    <wp:start x="0" y="0"/>
                    <wp:lineTo x="0" y="18467"/>
                    <wp:lineTo x="0" y="0"/>
                    <wp:lineTo x="0" y="18467"/>
                    <wp:lineTo x="0" y="20948"/>
                    <wp:lineTo x="0" y="21601"/>
                    <wp:lineTo x="0" y="20948"/>
                    <wp:lineTo x="0" y="18467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37.1pt;margin-top:20.1pt;width:0.0pt;height:66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any of above red flags still present, refer as above</w: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2436" w:rsidRDefault="00046224">
      <w:pPr>
        <w:pStyle w:val="Default"/>
        <w:widowControl w:val="0"/>
        <w:spacing w:before="0"/>
        <w:jc w:val="center"/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none of above red flags present, consider other remaining red flags</w:t>
      </w:r>
    </w:p>
    <w:p w:rsidR="00292436" w:rsidRDefault="00292436">
      <w:pPr>
        <w:pStyle w:val="Default"/>
        <w:widowControl w:val="0"/>
        <w:spacing w:before="0"/>
        <w:jc w:val="center"/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noProof/>
          <w:color w:val="EE220C"/>
          <w:sz w:val="22"/>
          <w:szCs w:val="22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3011768</wp:posOffset>
                </wp:positionH>
                <wp:positionV relativeFrom="line">
                  <wp:posOffset>150704</wp:posOffset>
                </wp:positionV>
                <wp:extent cx="0" cy="839739"/>
                <wp:effectExtent l="0" t="0" r="0" b="0"/>
                <wp:wrapThrough wrapText="bothSides" distL="152400" distR="152400">
                  <wp:wrapPolygon edited="1">
                    <wp:start x="0" y="0"/>
                    <wp:lineTo x="0" y="18467"/>
                    <wp:lineTo x="0" y="0"/>
                    <wp:lineTo x="0" y="18467"/>
                    <wp:lineTo x="0" y="20948"/>
                    <wp:lineTo x="0" y="21601"/>
                    <wp:lineTo x="0" y="20948"/>
                    <wp:lineTo x="0" y="18467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37.1pt;margin-top:11.9pt;width:0.0pt;height:66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2436" w:rsidRDefault="00292436">
      <w:pPr>
        <w:pStyle w:val="Default"/>
        <w:widowControl w:val="0"/>
        <w:spacing w:before="0"/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2436" w:rsidRDefault="00292436">
      <w:pPr>
        <w:pStyle w:val="Default"/>
        <w:widowControl w:val="0"/>
        <w:spacing w:before="0"/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Low intracranial pressure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Headaches only on sitting or standing up, completely relieved by lying flat. No other red flag features present.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Possible diagnosis – Iatrogenic after a spinal or epidural puncture, spontaneous CSF leak.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Advice</w:t>
      </w:r>
      <w:r>
        <w:rPr>
          <w:rFonts w:ascii="Arial" w:hAnsi="Arial"/>
          <w:sz w:val="22"/>
          <w:szCs w:val="22"/>
        </w:rPr>
        <w:t>:</w:t>
      </w:r>
    </w:p>
    <w:p w:rsidR="00AE53C2" w:rsidRPr="00292436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hAnsi="Arial" w:cs="Arial"/>
          <w:sz w:val="22"/>
          <w:szCs w:val="22"/>
        </w:rPr>
      </w:pPr>
      <w:r w:rsidRPr="00292436">
        <w:rPr>
          <w:rFonts w:ascii="Arial" w:hAnsi="Arial" w:cs="Arial"/>
          <w:sz w:val="22"/>
          <w:szCs w:val="22"/>
        </w:rPr>
        <w:t>Lie Flat</w:t>
      </w:r>
      <w:r w:rsidR="00292436">
        <w:rPr>
          <w:rFonts w:ascii="Arial" w:hAnsi="Arial" w:cs="Arial"/>
          <w:sz w:val="22"/>
          <w:szCs w:val="22"/>
        </w:rPr>
        <w:t>;</w:t>
      </w:r>
      <w:r w:rsidRPr="00292436">
        <w:rPr>
          <w:rFonts w:ascii="Arial" w:hAnsi="Arial" w:cs="Arial"/>
          <w:sz w:val="22"/>
          <w:szCs w:val="22"/>
        </w:rPr>
        <w:t xml:space="preserve"> Hydrate with IV fluids over 48-72 hours, IV anti</w:t>
      </w:r>
      <w:r w:rsidR="00292436">
        <w:rPr>
          <w:rFonts w:ascii="Arial" w:hAnsi="Arial" w:cs="Arial"/>
          <w:sz w:val="22"/>
          <w:szCs w:val="22"/>
        </w:rPr>
        <w:t>-</w:t>
      </w:r>
      <w:r w:rsidRPr="00292436">
        <w:rPr>
          <w:rFonts w:ascii="Arial" w:hAnsi="Arial" w:cs="Arial"/>
          <w:sz w:val="22"/>
          <w:szCs w:val="22"/>
        </w:rPr>
        <w:t xml:space="preserve">emetics and NSAID. </w:t>
      </w:r>
    </w:p>
    <w:p w:rsidR="00AE53C2" w:rsidRDefault="00046224">
      <w:pPr>
        <w:pStyle w:val="Default"/>
        <w:spacing w:before="0" w:after="240"/>
        <w:rPr>
          <w:rFonts w:ascii="Arial" w:eastAsia="Arial" w:hAnsi="Arial" w:cs="Arial"/>
          <w:sz w:val="22"/>
          <w:szCs w:val="22"/>
        </w:rPr>
      </w:pPr>
      <w:r w:rsidRPr="00292436">
        <w:rPr>
          <w:rFonts w:ascii="Arial" w:hAnsi="Arial" w:cs="Arial"/>
          <w:sz w:val="22"/>
          <w:szCs w:val="22"/>
        </w:rPr>
        <w:t>If no history of a spinal puncture, arrange an MRI of the brain and spine with contrast to look for features of low</w:t>
      </w:r>
      <w:r w:rsidR="00292436">
        <w:rPr>
          <w:rFonts w:ascii="Arial" w:hAnsi="Arial" w:cs="Arial"/>
          <w:sz w:val="22"/>
          <w:szCs w:val="22"/>
        </w:rPr>
        <w:t xml:space="preserve"> intra</w:t>
      </w:r>
      <w:r w:rsidRPr="00292436">
        <w:rPr>
          <w:rFonts w:ascii="Arial" w:hAnsi="Arial" w:cs="Arial"/>
          <w:sz w:val="22"/>
          <w:szCs w:val="22"/>
        </w:rPr>
        <w:t>cranial pressure</w:t>
      </w:r>
      <w:r>
        <w:rPr>
          <w:rFonts w:ascii="Arial" w:hAnsi="Arial"/>
          <w:sz w:val="22"/>
          <w:szCs w:val="22"/>
        </w:rPr>
        <w:t xml:space="preserve">. </w:t>
      </w:r>
    </w:p>
    <w:p w:rsidR="00AE53C2" w:rsidRDefault="00046224">
      <w:pPr>
        <w:pStyle w:val="Default"/>
        <w:spacing w:before="0" w:after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no improvement after 48-72 hours, liaise with Walton Centre neurology on </w:t>
      </w:r>
      <w:r w:rsidR="00292436">
        <w:rPr>
          <w:rFonts w:ascii="Arial" w:hAnsi="Arial"/>
          <w:sz w:val="22"/>
          <w:szCs w:val="22"/>
        </w:rPr>
        <w:t>call for advice or refer for on-</w:t>
      </w:r>
      <w:r>
        <w:rPr>
          <w:rFonts w:ascii="Arial" w:hAnsi="Arial"/>
          <w:sz w:val="22"/>
          <w:szCs w:val="22"/>
        </w:rPr>
        <w:t>site neurology consultation</w:t>
      </w: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Temporal arteritis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New onset headache over the age of 50; variably associated with temporal artery tenderness, jaw claudication, evolving neurological symptoms; 20% develop visual deterioration; stroke can occur.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Systemically unwe</w:t>
      </w:r>
      <w:r w:rsidR="00292436">
        <w:rPr>
          <w:rFonts w:ascii="Arial" w:hAnsi="Arial"/>
          <w:sz w:val="22"/>
          <w:szCs w:val="22"/>
        </w:rPr>
        <w:t>ll; polymyalgia like symptoms. C</w:t>
      </w:r>
      <w:r>
        <w:rPr>
          <w:rFonts w:ascii="Arial" w:hAnsi="Arial"/>
          <w:sz w:val="22"/>
          <w:szCs w:val="22"/>
        </w:rPr>
        <w:t>an be cough, fever, oedema, malaise.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Usually with high ESR &amp; CRP (rarely slight elevation or normal).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Advice</w:t>
      </w:r>
      <w:r>
        <w:rPr>
          <w:rFonts w:ascii="Arial" w:hAnsi="Arial"/>
          <w:sz w:val="22"/>
          <w:szCs w:val="22"/>
        </w:rPr>
        <w:t>:</w:t>
      </w: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Urgent ESR and CRP then commence steroid therapy immediately – prednisolone 1mg/kg/day (Maximum 100mg)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 not delay for biopsy or its result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Dose 40-60mg daily if no visual symptoms; 60-100mg if visual symptoms present (or consider IV methyl prednisolone 500-1000mg daily for 3 days then high dose oral as above).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 BNF, oral steroids to be taken after food; PPI gastric protection; counsel on side effects.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Aspirin no longer advised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Refer urgently to ophthalmology if any visual symptoms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Contact appropriate departments urgently to arrange urgently temporal artery biopsy and ophthalmology review. Do not delay steroids. MRI or ultrasound artery imaging option only if appropriate expertise available.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Glaucoma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Eye pain and ipsilateral headache  associated with decreasing visual acuity, halo effect around objects, vomiting. May be red eye.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Advice</w:t>
      </w:r>
      <w:r>
        <w:rPr>
          <w:rFonts w:ascii="Arial" w:hAnsi="Arial"/>
          <w:sz w:val="22"/>
          <w:szCs w:val="22"/>
        </w:rPr>
        <w:t>: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 on-call Ophthalmology registrar Urgently.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AE53C2" w:rsidP="00292436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EE220C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If none of above red flags present, consider primary headache disorders</w: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noProof/>
          <w:sz w:val="22"/>
          <w:szCs w:val="22"/>
          <w:u w:color="00000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3011259</wp:posOffset>
                </wp:positionH>
                <wp:positionV relativeFrom="line">
                  <wp:posOffset>180041</wp:posOffset>
                </wp:positionV>
                <wp:extent cx="0" cy="839739"/>
                <wp:effectExtent l="0" t="0" r="0" b="0"/>
                <wp:wrapThrough wrapText="bothSides" distL="152400" distR="152400">
                  <wp:wrapPolygon edited="1">
                    <wp:start x="0" y="0"/>
                    <wp:lineTo x="0" y="18467"/>
                    <wp:lineTo x="0" y="0"/>
                    <wp:lineTo x="0" y="18467"/>
                    <wp:lineTo x="0" y="20948"/>
                    <wp:lineTo x="0" y="21601"/>
                    <wp:lineTo x="0" y="20948"/>
                    <wp:lineTo x="0" y="18467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37.1pt;margin-top:14.2pt;width:0.0pt;height:66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 w:rsidP="00292436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jc w:val="center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Primary headache disorders</w:t>
      </w:r>
    </w:p>
    <w:p w:rsidR="00AE53C2" w:rsidRDefault="00AE53C2">
      <w:pPr>
        <w:pStyle w:val="Default"/>
        <w:widowControl w:val="0"/>
        <w:spacing w:before="0"/>
        <w:jc w:val="center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Episodic migraine +/- aura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Recurrent episodes of headache lasting up to 3-4 days. There should be a clear past history of previous similar episodes with recovery – i.e. a history of prior episodic migrainous attacks.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Has moderate to severe aching / throbbing pain involving scalp, face and neck. Usually will have nausea and sensitivity to light, noise and movement. Affects patient’s capacity to function. Pain free in between episodes. 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Aura is an evolving visual/ sensory/ motor/ speech disturbance that develops over minutes to an hour- unlike in TIAs where the deficit happens suddenly. Visual blurring and spots are not diagnostic of aura. Only 20% have aura.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Avoid starting regular analgesia. Pain Control (paracetamol / NSAID +/-triptan +/- pro-kinetic anti-emetic) should be used sparingly for 1-2 days only. Ensure adequate hydration.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4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 should be supplied with Walton PRIMARY HEADACHE INFORMATION LEAFLET (available at</w:t>
      </w:r>
      <w:r>
        <w:rPr>
          <w:rFonts w:ascii="Arial" w:hAnsi="Arial"/>
          <w:color w:val="0076B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8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 and advise to consult GP about options on Walton primary care headache pathway.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Chronic migraine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Headaches &gt; 15 days / month  (of which at least 8 are migrainous and the rest can be  featureless headaches)  for the last 3 months.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patients may also report difficulty in day to day functioning, feeling dizzy and perceive problems with concentration, attention and recall.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 diagnosis and give PRIMARY HEADACHE INFORMATION LEAFLET (available at </w:t>
      </w:r>
      <w:hyperlink r:id="rId9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Stop use of regular analgesics- withdraw opiates slowly 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Advise patients to stop all caffeine intake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Advise patients to limit acute attack analgesic medication use to a maximum of 2 does a week and only for severe attacks. e.g. paracetamol 1g or ASPIRIN 600mg or NAPROXEN 500mg or IBUPROFEN 400mg for severe headaches but not more than twice a week. DO NOT PRESCRIBE CODEINE/MORPHINE/TRAMADOL or other opiates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Patient should be supplied with Walton Primary Headache INFORMATION LEAFLET (available at </w:t>
      </w:r>
      <w:hyperlink r:id="rId10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 and advised to consult GP about options on Walton primary care headache pathway regarding preventative treatments.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Medication overuse headache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Use of any analgesia more than twice a week (10 -15 days in a month) for 3 months can worsen most primary headaches.  Lower intakes can also cause this condition and reduce effectiveness of headache preventative treatments.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Caffeine can also aggravate the condition and should be stopped.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Very frequently occurs with episodic and chronic migraine.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Patients describe a persistent ‘hangover’ like feeling and lack of response to analgesics.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 diagnosis and give INFORMATION LEAFLET (available at </w:t>
      </w:r>
      <w:hyperlink r:id="rId11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Stop use of regular analgesics - withdraw opiates slowly 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Advise patients to stop all caffeine intake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Advise patients to limit acute attack analgesic medication use to a maximum of 2 doses a week and only for severe attacks e.g. paracetamol 1g or ASPIRIN 600mg or NAPROXEN 500mg or IBUPROFEN 400mg for severe headaches , but not more than twice a week, DO NOT PRESCRIBE CODEINE/MORPHI</w:t>
      </w:r>
      <w:r>
        <w:rPr>
          <w:rFonts w:ascii="Arial" w:hAnsi="Arial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NE/</w:t>
      </w: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TRAMADOL or other opiates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Warn patients that headaches will worsen for the first 2-3 weeks and that headaches will resolve only over a few months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Patient should be supplied with Walton PRIMARY HEADACHE INFORMATION LEAFLET (available at </w:t>
      </w:r>
      <w:hyperlink r:id="rId12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 and advised to consult GP about options on Walton primary care headache pathway regarding preventative treatments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Chronic tension headache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Persistent, featureless, bilateral, non-severe, vice like headache without the additional migranous characteristics like sensitivity and difficulty in functioning.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Simple analgesics like paracetamol or ibuprofen (max 2 does per week to avoid medication overuse headache)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 diagnosis and give PRIMARY HEADACHE INFORMATION LEAFLET (available at </w:t>
      </w:r>
      <w:hyperlink r:id="rId13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 should be advised to consult GP about options on Walton primary care headache pathway.</w:t>
      </w:r>
    </w:p>
    <w:p w:rsidR="00292436" w:rsidRDefault="00292436">
      <w:pPr>
        <w:pStyle w:val="Default"/>
        <w:widowControl w:val="0"/>
        <w:spacing w:before="0"/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Cluster headache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Strictly unilateral headaches, typically very severe, lasting for up to 1-4 hours, 2-6 episodes /24 hours, attacks often waking the patient from sleep, prominent associated autonomic symptoms (redness of the eye, eye watering, nasal blockage) and severe restlessness, agitated behaviour during the headache.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a) Administer subcutaneous SUMATRIPTAN 6mg INJECTION (refer to any local hospital formulary) to terminate an acute attack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(b) 12-15 Litres/min high flow oxygen through a non rebreathable, tight fitting mask (caution in COPD) to terminate an acute attack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If having regular attacks, commence PREDNISOLONE 60mg daily for 3 days; reducing by 10mg every 3 </w:t>
      </w: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days until stopped; maximum duration =18 days. Refer BNF, to be taken after food; consider gastric protection counsel on side effects.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Verapamil 40mg tds increasing over a week if tolerated to 80mg tds (unlicensed indication but well established in neurology)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Consider PPI prophylaxis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Supply patient with sumatriptan 6mg sc injections (maximum 2 per day)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 diagnosis and give PRIMARY HEADACHE INFORMATION LEAFLET (available at </w:t>
      </w:r>
      <w:hyperlink r:id="rId14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12"/>
          <w:szCs w:val="1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Refer for NEUROLOGY OUTPATIENT APPOINTMENT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Fax a detailed referral letter addressed to’ ’CONSULTANT NEUROLOGIST’’ (copy of A&amp;E notes will not be accepted) clearly marked "FOR URGENT OUTPATIENT APPOINTMENT’’ to the Neurology Appointments Office at the Walton Centre on 0151-5295769.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 patient that the appointment to see a neurologist may be either at The Walton Centre or  a local hospital. All neurology appointments are handled by the appointments office at the Walton Centre .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The time frame for the appointment will be decided by the triaging neurologist depending on the clinical information provided.  Please do not give an estimated appointment date to the patient.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Trigeminal neuralgia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Unilateral paroxysmal, recurrent sharp shooting ("electric shock’’) pain in the maxillary /mandibular division, triggered by touch/ chewing. 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Not all facial pains are neuralgia. Constant aching or long-lasting facial pain is unlikely to be TN.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Ask for history of zoster of the affected area (post herpetic neuralgia)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IV fluids if oral intake affected by symptoms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Commence CARBAMAZEPINE or GABAPENTIN – (Refer to any local hospital formulary) 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 diagnosis and give  PRIMARY HEADACHE INFORMATION LEAFLET (available at </w:t>
      </w:r>
      <w:hyperlink r:id="rId15" w:history="1">
        <w:r>
          <w:rPr>
            <w:rStyle w:val="Hyperlink0"/>
            <w:rFonts w:ascii="Calibri" w:hAnsi="Calibri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https://www.thewaltoncentre.nhs.uk/473/pathways-for-health-professionals.html</w:t>
        </w:r>
      </w:hyperlink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numPr>
          <w:ilvl w:val="0"/>
          <w:numId w:val="3"/>
        </w:numPr>
        <w:spacing w:before="0"/>
        <w:rPr>
          <w:rFonts w:ascii="Calibri" w:hAnsi="Calibri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Refer for NEUROLOGY OUTPATIENT APPOINTMENT</w:t>
      </w:r>
    </w:p>
    <w:p w:rsidR="00AE53C2" w:rsidRDefault="00AE53C2">
      <w:pPr>
        <w:pStyle w:val="Default"/>
        <w:widowControl w:val="0"/>
        <w:spacing w:before="0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3C2" w:rsidRDefault="00046224">
      <w:pPr>
        <w:pStyle w:val="Default"/>
        <w:widowControl w:val="0"/>
        <w:spacing w:before="0"/>
        <w:rPr>
          <w:rFonts w:ascii="Arial" w:eastAsia="Arial" w:hAnsi="Arial" w:cs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Fax a detailed referral letter addressed to’ ’CONSULTANT NEUROLOGIST’’ (copy of A&amp;E notes will not be accepted) clearly marked "FOR URGENT OUTPATIENT APPOINTMENT’’ to the Neurology Appointments Office at the Walton Centre on 0151-5295769.</w:t>
      </w:r>
    </w:p>
    <w:p w:rsidR="00AE53C2" w:rsidRDefault="00AE53C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 patient that the appointment to see a neurologist may be either at The Walton Centre or  a local hospital. All neurology appointments are handled by the appointments office at the Walton Centre .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AE53C2" w:rsidRDefault="000462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</w:pPr>
      <w:r>
        <w:rPr>
          <w:rFonts w:ascii="Arial" w:hAnsi="Arial"/>
          <w:sz w:val="16"/>
          <w:szCs w:val="16"/>
        </w:rPr>
        <w:t>The time frame for the appointment will be decided by the triaging neurologist depending on the clinical information provided.  Please do not give an estimated appointment date to the patient.</w:t>
      </w:r>
    </w:p>
    <w:sectPr w:rsidR="00AE53C2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73" w:rsidRDefault="00046224">
      <w:r>
        <w:separator/>
      </w:r>
    </w:p>
  </w:endnote>
  <w:endnote w:type="continuationSeparator" w:id="0">
    <w:p w:rsidR="00563C73" w:rsidRDefault="0004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2" w:rsidRDefault="0004622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3C61">
      <w:rPr>
        <w:rFonts w:hint="eastAsia"/>
        <w:noProof/>
      </w:rPr>
      <w:t>2</w:t>
    </w:r>
    <w:r>
      <w:fldChar w:fldCharType="end"/>
    </w:r>
    <w:r>
      <w:rPr>
        <w:lang w:val="en-US"/>
      </w:rPr>
      <w:t xml:space="preserve"> of </w:t>
    </w:r>
    <w:r w:rsidR="00AB3C61">
      <w:fldChar w:fldCharType="begin"/>
    </w:r>
    <w:r w:rsidR="00AB3C61">
      <w:instrText xml:space="preserve"> NUMPAGES </w:instrText>
    </w:r>
    <w:r w:rsidR="00AB3C61">
      <w:fldChar w:fldCharType="separate"/>
    </w:r>
    <w:r w:rsidR="00AB3C61">
      <w:rPr>
        <w:rFonts w:hint="eastAsia"/>
        <w:noProof/>
      </w:rPr>
      <w:t>7</w:t>
    </w:r>
    <w:r w:rsidR="00AB3C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73" w:rsidRDefault="00046224">
      <w:r>
        <w:separator/>
      </w:r>
    </w:p>
  </w:footnote>
  <w:footnote w:type="continuationSeparator" w:id="0">
    <w:p w:rsidR="00563C73" w:rsidRDefault="0004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2" w:rsidRDefault="00AE53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960"/>
    <w:multiLevelType w:val="hybridMultilevel"/>
    <w:tmpl w:val="727A2128"/>
    <w:lvl w:ilvl="0" w:tplc="3EC4392E">
      <w:start w:val="1"/>
      <w:numFmt w:val="bullet"/>
      <w:lvlText w:val="•"/>
      <w:lvlJc w:val="left"/>
      <w:pPr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D8E8EA">
      <w:start w:val="1"/>
      <w:numFmt w:val="bullet"/>
      <w:lvlText w:val="•"/>
      <w:lvlJc w:val="left"/>
      <w:pPr>
        <w:ind w:left="140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810A4">
      <w:start w:val="1"/>
      <w:numFmt w:val="bullet"/>
      <w:lvlText w:val="•"/>
      <w:lvlJc w:val="left"/>
      <w:pPr>
        <w:ind w:left="212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68428">
      <w:start w:val="1"/>
      <w:numFmt w:val="bullet"/>
      <w:lvlText w:val="•"/>
      <w:lvlJc w:val="left"/>
      <w:pPr>
        <w:ind w:left="284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6232">
      <w:start w:val="1"/>
      <w:numFmt w:val="bullet"/>
      <w:lvlText w:val="•"/>
      <w:lvlJc w:val="left"/>
      <w:pPr>
        <w:ind w:left="356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0DC60">
      <w:start w:val="1"/>
      <w:numFmt w:val="bullet"/>
      <w:lvlText w:val="•"/>
      <w:lvlJc w:val="left"/>
      <w:pPr>
        <w:ind w:left="42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6FB74">
      <w:start w:val="1"/>
      <w:numFmt w:val="bullet"/>
      <w:lvlText w:val="•"/>
      <w:lvlJc w:val="left"/>
      <w:pPr>
        <w:ind w:left="500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25524">
      <w:start w:val="1"/>
      <w:numFmt w:val="bullet"/>
      <w:lvlText w:val="•"/>
      <w:lvlJc w:val="left"/>
      <w:pPr>
        <w:ind w:left="572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24454">
      <w:start w:val="1"/>
      <w:numFmt w:val="bullet"/>
      <w:lvlText w:val="•"/>
      <w:lvlJc w:val="left"/>
      <w:pPr>
        <w:ind w:left="644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727587"/>
    <w:multiLevelType w:val="hybridMultilevel"/>
    <w:tmpl w:val="F7200BDC"/>
    <w:styleLink w:val="BulletBig"/>
    <w:lvl w:ilvl="0" w:tplc="3BA8F2EA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79CB740">
      <w:start w:val="1"/>
      <w:numFmt w:val="bullet"/>
      <w:lvlText w:val="•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6C7FA8">
      <w:start w:val="1"/>
      <w:numFmt w:val="bullet"/>
      <w:lvlText w:val="•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F096A2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DCE584">
      <w:start w:val="1"/>
      <w:numFmt w:val="bullet"/>
      <w:lvlText w:val="•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7DE8C64">
      <w:start w:val="1"/>
      <w:numFmt w:val="bullet"/>
      <w:lvlText w:val="•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C388BB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B8AE1A">
      <w:start w:val="1"/>
      <w:numFmt w:val="bullet"/>
      <w:lvlText w:val="•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7C86984">
      <w:start w:val="1"/>
      <w:numFmt w:val="bullet"/>
      <w:lvlText w:val="•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70E25223"/>
    <w:multiLevelType w:val="hybridMultilevel"/>
    <w:tmpl w:val="F7200BDC"/>
    <w:numStyleLink w:val="BulletBig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5A0293C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CC66754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09A2A7A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5E41DEE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06828BE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DFE3E2A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5FE272C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6F23B12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5D030C4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3C2"/>
    <w:rsid w:val="00046224"/>
    <w:rsid w:val="00292436"/>
    <w:rsid w:val="00563C73"/>
    <w:rsid w:val="00AB3C61"/>
    <w:rsid w:val="00A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2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76B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2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76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altoncentre.nhs.uk/473/pathways-for-health-professionals.html" TargetMode="External"/><Relationship Id="rId13" Type="http://schemas.openxmlformats.org/officeDocument/2006/relationships/hyperlink" Target="https://www.thewaltoncentre.nhs.uk/473/pathways-for-health-professional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ewaltoncentre.nhs.uk/473/pathways-for-health-professional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waltoncentre.nhs.uk/473/pathways-for-health-profession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waltoncentre.nhs.uk/473/pathways-for-health-professionals.html" TargetMode="External"/><Relationship Id="rId10" Type="http://schemas.openxmlformats.org/officeDocument/2006/relationships/hyperlink" Target="https://www.thewaltoncentre.nhs.uk/473/pathways-for-health-professional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waltoncentre.nhs.uk/473/pathways-for-health-professionals.html" TargetMode="External"/><Relationship Id="rId14" Type="http://schemas.openxmlformats.org/officeDocument/2006/relationships/hyperlink" Target="https://www.thewaltoncentre.nhs.uk/473/pathways-for-health-professionals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55F26B6D</Template>
  <TotalTime>0</TotalTime>
  <Pages>7</Pages>
  <Words>2405</Words>
  <Characters>13715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Nick</dc:creator>
  <cp:lastModifiedBy>Fleet, Sam</cp:lastModifiedBy>
  <cp:revision>2</cp:revision>
  <dcterms:created xsi:type="dcterms:W3CDTF">2021-03-12T09:51:00Z</dcterms:created>
  <dcterms:modified xsi:type="dcterms:W3CDTF">2021-03-12T09:51:00Z</dcterms:modified>
</cp:coreProperties>
</file>